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5E" w:rsidRPr="00B5335E" w:rsidRDefault="00B5335E" w:rsidP="00B5335E">
      <w:pPr>
        <w:pStyle w:val="Heading2"/>
      </w:pPr>
      <w:r w:rsidRPr="00B5335E">
        <w:t>Mission, Vision, Goals. Concept definitions</w:t>
      </w:r>
    </w:p>
    <w:p w:rsidR="007D7686" w:rsidRPr="007D7686" w:rsidRDefault="007D7686" w:rsidP="00B5335E">
      <w:pPr>
        <w:rPr>
          <w:rFonts w:asciiTheme="minorHAnsi" w:hAnsiTheme="minorHAnsi" w:cstheme="minorHAnsi"/>
          <w:sz w:val="22"/>
          <w:szCs w:val="22"/>
        </w:rPr>
      </w:pPr>
      <w:r w:rsidRPr="007D7686">
        <w:rPr>
          <w:rFonts w:asciiTheme="minorHAnsi" w:hAnsiTheme="minorHAnsi" w:cstheme="minorHAnsi"/>
          <w:sz w:val="22"/>
          <w:szCs w:val="22"/>
        </w:rPr>
        <w:t xml:space="preserve">(The document has references to </w:t>
      </w:r>
      <w:hyperlink r:id="rId5" w:history="1">
        <w:r w:rsidRPr="007D7686">
          <w:rPr>
            <w:rFonts w:asciiTheme="minorHAnsi" w:hAnsiTheme="minorHAnsi" w:cstheme="minorHAnsi"/>
            <w:sz w:val="22"/>
            <w:szCs w:val="22"/>
          </w:rPr>
          <w:t>http://www.arcticobserving.org/images/pdf/Board_meetings/2017_Frascati/Master-Planning-101-v.07.20.2012.pdf</w:t>
        </w:r>
      </w:hyperlink>
      <w:r w:rsidRPr="007D7686">
        <w:rPr>
          <w:rFonts w:asciiTheme="minorHAnsi" w:hAnsiTheme="minorHAnsi" w:cstheme="minorHAnsi"/>
          <w:sz w:val="22"/>
          <w:szCs w:val="22"/>
        </w:rPr>
        <w:t xml:space="preserve">. </w:t>
      </w:r>
      <w:r w:rsidRPr="007D7686">
        <w:rPr>
          <w:rFonts w:asciiTheme="minorHAnsi" w:hAnsiTheme="minorHAnsi" w:cstheme="minorHAnsi"/>
          <w:sz w:val="22"/>
          <w:szCs w:val="22"/>
        </w:rPr>
        <w:t xml:space="preserve">It draws from a Master Planning process followed for </w:t>
      </w:r>
      <w:r w:rsidRPr="007D7686">
        <w:rPr>
          <w:rFonts w:asciiTheme="minorHAnsi" w:hAnsiTheme="minorHAnsi" w:cstheme="minorHAnsi"/>
          <w:sz w:val="22"/>
          <w:szCs w:val="22"/>
        </w:rPr>
        <w:t xml:space="preserve">the </w:t>
      </w:r>
      <w:r w:rsidRPr="007D7686">
        <w:rPr>
          <w:rFonts w:asciiTheme="minorHAnsi" w:hAnsiTheme="minorHAnsi" w:cstheme="minorHAnsi"/>
          <w:sz w:val="22"/>
          <w:szCs w:val="22"/>
        </w:rPr>
        <w:t>Summit Station.  The culmination of slide 25 was then evaluated in a quad</w:t>
      </w:r>
      <w:r w:rsidRPr="007D7686">
        <w:rPr>
          <w:rFonts w:asciiTheme="minorHAnsi" w:hAnsiTheme="minorHAnsi" w:cstheme="minorHAnsi"/>
          <w:sz w:val="22"/>
          <w:szCs w:val="22"/>
        </w:rPr>
        <w:t>rant</w:t>
      </w:r>
      <w:r w:rsidRPr="007D7686">
        <w:rPr>
          <w:rFonts w:asciiTheme="minorHAnsi" w:hAnsiTheme="minorHAnsi" w:cstheme="minorHAnsi"/>
          <w:sz w:val="22"/>
          <w:szCs w:val="22"/>
        </w:rPr>
        <w:t xml:space="preserve"> map</w:t>
      </w:r>
      <w:r w:rsidRPr="007D7686">
        <w:rPr>
          <w:rFonts w:asciiTheme="minorHAnsi" w:hAnsiTheme="minorHAnsi" w:cstheme="minorHAnsi"/>
          <w:sz w:val="22"/>
          <w:szCs w:val="22"/>
        </w:rPr>
        <w:t>)</w:t>
      </w:r>
    </w:p>
    <w:p w:rsidR="00B5335E" w:rsidRPr="00B5335E" w:rsidRDefault="00B5335E" w:rsidP="00B5335E">
      <w:pPr>
        <w:pStyle w:val="Heading3"/>
      </w:pPr>
      <w:r w:rsidRPr="00B5335E">
        <w:t>Vision Statement</w:t>
      </w:r>
      <w:bookmarkStart w:id="0" w:name="_GoBack"/>
      <w:bookmarkEnd w:id="0"/>
    </w:p>
    <w:p w:rsidR="00B5335E" w:rsidRPr="00B5335E" w:rsidRDefault="00B5335E" w:rsidP="00B5335E">
      <w:pPr>
        <w:rPr>
          <w:rFonts w:asciiTheme="minorHAnsi" w:hAnsiTheme="minorHAnsi" w:cstheme="minorHAnsi"/>
          <w:sz w:val="22"/>
          <w:szCs w:val="22"/>
        </w:rPr>
      </w:pPr>
      <w:r w:rsidRPr="00B5335E">
        <w:rPr>
          <w:rFonts w:asciiTheme="minorHAnsi" w:hAnsiTheme="minorHAnsi" w:cstheme="minorHAnsi"/>
          <w:color w:val="000000"/>
          <w:sz w:val="22"/>
          <w:szCs w:val="22"/>
        </w:rPr>
        <w:t>Defines how an organization will look.  It should be aspirational and comprehend a 10-20 year time frame.  </w:t>
      </w:r>
    </w:p>
    <w:p w:rsidR="00B5335E" w:rsidRPr="00B5335E" w:rsidRDefault="00B5335E" w:rsidP="00B5335E">
      <w:pPr>
        <w:pStyle w:val="Heading3"/>
      </w:pPr>
      <w:r w:rsidRPr="00B5335E">
        <w:t>Mission Statement</w:t>
      </w:r>
    </w:p>
    <w:p w:rsidR="00B5335E" w:rsidRPr="00B5335E" w:rsidRDefault="00B5335E" w:rsidP="00B5335E">
      <w:pPr>
        <w:rPr>
          <w:rFonts w:asciiTheme="minorHAnsi" w:hAnsiTheme="minorHAnsi" w:cstheme="minorHAnsi"/>
          <w:sz w:val="22"/>
          <w:szCs w:val="22"/>
        </w:rPr>
      </w:pPr>
      <w:r w:rsidRPr="00B5335E">
        <w:rPr>
          <w:rFonts w:asciiTheme="minorHAnsi" w:hAnsiTheme="minorHAnsi" w:cstheme="minorHAnsi"/>
          <w:color w:val="000000"/>
          <w:sz w:val="22"/>
          <w:szCs w:val="22"/>
        </w:rPr>
        <w:t>Defines the fundamental purpose of an organization (“what we do”) and how it achieves its vision (“how we do it”). (</w:t>
      </w:r>
      <w:proofErr w:type="gramStart"/>
      <w:r w:rsidRPr="00B5335E">
        <w:rPr>
          <w:rFonts w:asciiTheme="minorHAnsi" w:hAnsiTheme="minorHAnsi" w:cstheme="minorHAnsi"/>
          <w:color w:val="000000"/>
          <w:sz w:val="22"/>
          <w:szCs w:val="22"/>
        </w:rPr>
        <w:t>see</w:t>
      </w:r>
      <w:proofErr w:type="gramEnd"/>
      <w:r w:rsidRPr="00B5335E">
        <w:rPr>
          <w:rFonts w:asciiTheme="minorHAnsi" w:hAnsiTheme="minorHAnsi" w:cstheme="minorHAnsi"/>
          <w:color w:val="000000"/>
          <w:sz w:val="22"/>
          <w:szCs w:val="22"/>
        </w:rPr>
        <w:t xml:space="preserve"> the examples on slide 12.  I think reviewing examples is important.</w:t>
      </w:r>
    </w:p>
    <w:p w:rsidR="00B5335E" w:rsidRPr="00B5335E" w:rsidRDefault="00B5335E" w:rsidP="00B5335E">
      <w:pPr>
        <w:pStyle w:val="Heading3"/>
      </w:pPr>
      <w:r w:rsidRPr="00B5335E">
        <w:t>Goals</w:t>
      </w:r>
    </w:p>
    <w:p w:rsidR="00B5335E" w:rsidRPr="00B5335E" w:rsidRDefault="00B5335E" w:rsidP="00B5335E">
      <w:pPr>
        <w:rPr>
          <w:rFonts w:asciiTheme="minorHAnsi" w:hAnsiTheme="minorHAnsi" w:cstheme="minorHAnsi"/>
          <w:sz w:val="22"/>
          <w:szCs w:val="22"/>
        </w:rPr>
      </w:pPr>
      <w:r w:rsidRPr="00B5335E">
        <w:rPr>
          <w:rFonts w:asciiTheme="minorHAnsi" w:hAnsiTheme="minorHAnsi" w:cstheme="minorHAnsi"/>
          <w:sz w:val="22"/>
          <w:szCs w:val="22"/>
        </w:rPr>
        <w:t>Define the high-level categories of achievable outcomes that the organization will undertake.  Goals should be limited and follow the S-M-A-R-T criteria.  (</w:t>
      </w:r>
      <w:proofErr w:type="gramStart"/>
      <w:r w:rsidRPr="00B5335E">
        <w:rPr>
          <w:rFonts w:asciiTheme="minorHAnsi" w:hAnsiTheme="minorHAnsi" w:cstheme="minorHAnsi"/>
          <w:sz w:val="22"/>
          <w:szCs w:val="22"/>
        </w:rPr>
        <w:t>slide</w:t>
      </w:r>
      <w:proofErr w:type="gramEnd"/>
      <w:r w:rsidRPr="00B5335E">
        <w:rPr>
          <w:rFonts w:asciiTheme="minorHAnsi" w:hAnsiTheme="minorHAnsi" w:cstheme="minorHAnsi"/>
          <w:sz w:val="22"/>
          <w:szCs w:val="22"/>
        </w:rPr>
        <w:t xml:space="preserve"> 16)</w:t>
      </w:r>
    </w:p>
    <w:p w:rsidR="00B5335E" w:rsidRPr="00B5335E" w:rsidRDefault="00B5335E" w:rsidP="00B5335E">
      <w:pPr>
        <w:pStyle w:val="Heading3"/>
      </w:pPr>
      <w:r w:rsidRPr="00B5335E">
        <w:t>Objectives</w:t>
      </w:r>
    </w:p>
    <w:p w:rsidR="00B5335E" w:rsidRPr="00B5335E" w:rsidRDefault="00B5335E" w:rsidP="00B5335E">
      <w:pPr>
        <w:rPr>
          <w:rFonts w:asciiTheme="minorHAnsi" w:hAnsiTheme="minorHAnsi" w:cstheme="minorHAnsi"/>
          <w:sz w:val="22"/>
          <w:szCs w:val="22"/>
        </w:rPr>
      </w:pPr>
      <w:proofErr w:type="gramStart"/>
      <w:r w:rsidRPr="00B5335E">
        <w:rPr>
          <w:rFonts w:asciiTheme="minorHAnsi" w:hAnsiTheme="minorHAnsi" w:cstheme="minorHAnsi"/>
          <w:sz w:val="22"/>
          <w:szCs w:val="22"/>
        </w:rPr>
        <w:t>Defines the specific tasks that will constitute achievement under each goal.</w:t>
      </w:r>
      <w:proofErr w:type="gramEnd"/>
      <w:r w:rsidRPr="00B5335E">
        <w:rPr>
          <w:rFonts w:asciiTheme="minorHAnsi" w:hAnsiTheme="minorHAnsi" w:cstheme="minorHAnsi"/>
          <w:sz w:val="22"/>
          <w:szCs w:val="22"/>
        </w:rPr>
        <w:t>  At the objective level, you refine S-M-A-R-T, by adding the "who, how, when".  It is important to make sure that objectives reflect the goal and will lead to accomplishments against the goal.  This seems obvious, but being forced to articulate it is helpful.  </w:t>
      </w:r>
    </w:p>
    <w:p w:rsidR="00B5335E" w:rsidRPr="00B5335E" w:rsidRDefault="00B5335E" w:rsidP="00B5335E">
      <w:pPr>
        <w:pStyle w:val="Heading3"/>
      </w:pPr>
      <w:r w:rsidRPr="00B5335E">
        <w:t>Guiding Principles</w:t>
      </w:r>
    </w:p>
    <w:p w:rsidR="00B5335E" w:rsidRPr="00B5335E" w:rsidRDefault="00B5335E" w:rsidP="00B5335E">
      <w:pPr>
        <w:rPr>
          <w:rFonts w:asciiTheme="minorHAnsi" w:hAnsiTheme="minorHAnsi" w:cstheme="minorHAnsi"/>
          <w:sz w:val="22"/>
          <w:szCs w:val="22"/>
        </w:rPr>
      </w:pPr>
      <w:r w:rsidRPr="00B5335E">
        <w:rPr>
          <w:rFonts w:asciiTheme="minorHAnsi" w:hAnsiTheme="minorHAnsi" w:cstheme="minorHAnsi"/>
          <w:sz w:val="22"/>
          <w:szCs w:val="22"/>
        </w:rPr>
        <w:t xml:space="preserve">Describe the fundamental principles that will be pervasively followed throughout the execution of the Mission (cascading into Goals, cascading into Objectives). "Guiding </w:t>
      </w:r>
      <w:r w:rsidRPr="00B5335E">
        <w:rPr>
          <w:rFonts w:asciiTheme="minorHAnsi" w:hAnsiTheme="minorHAnsi" w:cstheme="minorHAnsi"/>
          <w:sz w:val="22"/>
          <w:szCs w:val="22"/>
        </w:rPr>
        <w:t>Principles" from the IARPC Plan are</w:t>
      </w:r>
    </w:p>
    <w:p w:rsidR="007D7686" w:rsidRDefault="00B5335E" w:rsidP="00B5335E">
      <w:pPr>
        <w:rPr>
          <w:rFonts w:asciiTheme="minorHAnsi" w:hAnsiTheme="minorHAnsi" w:cstheme="minorHAnsi"/>
          <w:sz w:val="22"/>
          <w:szCs w:val="22"/>
        </w:rPr>
      </w:pPr>
      <w:r w:rsidRPr="00B5335E">
        <w:rPr>
          <w:rFonts w:asciiTheme="minorHAnsi" w:hAnsiTheme="minorHAnsi" w:cstheme="minorHAnsi"/>
          <w:sz w:val="22"/>
          <w:szCs w:val="22"/>
        </w:rPr>
        <w:t>“</w:t>
      </w:r>
      <w:r w:rsidRPr="00B5335E">
        <w:rPr>
          <w:rFonts w:asciiTheme="minorHAnsi" w:hAnsiTheme="minorHAnsi" w:cstheme="minorHAnsi"/>
          <w:sz w:val="22"/>
          <w:szCs w:val="22"/>
        </w:rPr>
        <w:t>Recognizing that a broad set of tools and approaches need to be applied in the conduct of federally-funded research, the Plan's implementation will follow a number of guiding principles.  These include implementing a portfolio of basic and applied disciplinary research, and broader systems-level research based modelling and synthesis; an appropriately designed set of sustained measurements supporting long-term observations and the understanding of changes occurring throughout the Arctic environmental system, and mechanisms to provide timely and efficient access to data.  Increasingly, the importance of including northern people as participants in research has been recognized. As participants they will help to guide research plans, and provide observations and expert knowledge to contribute to analysis and decision-making—key objectives of community-based observing. Lastly, international collaboration is critical.  International collaboration strengthens the production of knowledge, and provides opportunities for improved access to the Arctic region and the most effective use of costly infrastructure and logistics.</w:t>
      </w:r>
      <w:r w:rsidRPr="00B5335E">
        <w:rPr>
          <w:rFonts w:asciiTheme="minorHAnsi" w:hAnsiTheme="minorHAnsi" w:cstheme="minorHAnsi"/>
          <w:sz w:val="22"/>
          <w:szCs w:val="22"/>
        </w:rPr>
        <w:t>”</w:t>
      </w:r>
    </w:p>
    <w:p w:rsidR="007D7686" w:rsidRDefault="007D7686" w:rsidP="007D7686">
      <w:r>
        <w:br w:type="page"/>
      </w:r>
    </w:p>
    <w:p w:rsidR="00B5335E" w:rsidRDefault="00B5335E" w:rsidP="00B5335E">
      <w:pPr>
        <w:pStyle w:val="Heading3"/>
      </w:pPr>
      <w:r>
        <w:lastRenderedPageBreak/>
        <w:t>Mission and Vision definitions</w:t>
      </w:r>
    </w:p>
    <w:p w:rsidR="00B5335E" w:rsidRPr="00B5335E" w:rsidRDefault="00B5335E" w:rsidP="00B5335E"/>
    <w:tbl>
      <w:tblPr>
        <w:tblStyle w:val="TableGrid"/>
        <w:tblW w:w="0" w:type="auto"/>
        <w:tblInd w:w="38" w:type="dxa"/>
        <w:tblLook w:val="04A0" w:firstRow="1" w:lastRow="0" w:firstColumn="1" w:lastColumn="0" w:noHBand="0" w:noVBand="1"/>
      </w:tblPr>
      <w:tblGrid>
        <w:gridCol w:w="1101"/>
        <w:gridCol w:w="1154"/>
        <w:gridCol w:w="1180"/>
      </w:tblGrid>
      <w:tr w:rsidR="00B5335E" w:rsidRPr="005B1421" w:rsidTr="005B1421">
        <w:tc>
          <w:tcPr>
            <w:tcW w:w="0" w:type="auto"/>
            <w:hideMark/>
          </w:tcPr>
          <w:p w:rsidR="00B5335E" w:rsidRPr="005B1421" w:rsidRDefault="00B5335E">
            <w:pPr>
              <w:rPr>
                <w:rFonts w:asciiTheme="minorHAnsi" w:hAnsiTheme="minorHAnsi" w:cstheme="minorHAnsi"/>
                <w:sz w:val="22"/>
                <w:szCs w:val="22"/>
                <w:lang w:eastAsia="en-US"/>
              </w:rPr>
            </w:pPr>
          </w:p>
        </w:tc>
        <w:tc>
          <w:tcPr>
            <w:tcW w:w="0" w:type="auto"/>
            <w:hideMark/>
          </w:tcPr>
          <w:p w:rsidR="00B5335E" w:rsidRPr="005B1421" w:rsidRDefault="00B5335E">
            <w:pPr>
              <w:spacing w:before="100" w:beforeAutospacing="1" w:after="100" w:afterAutospacing="1"/>
              <w:jc w:val="center"/>
              <w:rPr>
                <w:rFonts w:asciiTheme="minorHAnsi" w:hAnsiTheme="minorHAnsi" w:cstheme="minorHAnsi"/>
                <w:sz w:val="22"/>
                <w:szCs w:val="22"/>
                <w:lang w:eastAsia="en-US"/>
              </w:rPr>
            </w:pPr>
            <w:r w:rsidRPr="005B1421">
              <w:rPr>
                <w:rFonts w:asciiTheme="minorHAnsi" w:hAnsiTheme="minorHAnsi" w:cstheme="minorHAnsi"/>
                <w:b/>
                <w:bCs/>
                <w:sz w:val="22"/>
                <w:szCs w:val="22"/>
                <w:lang w:eastAsia="en-US"/>
              </w:rPr>
              <w:t>Mission</w:t>
            </w:r>
          </w:p>
        </w:tc>
        <w:tc>
          <w:tcPr>
            <w:tcW w:w="0" w:type="auto"/>
            <w:hideMark/>
          </w:tcPr>
          <w:p w:rsidR="00B5335E" w:rsidRPr="005B1421" w:rsidRDefault="00B5335E">
            <w:pPr>
              <w:spacing w:before="100" w:beforeAutospacing="1" w:after="100" w:afterAutospacing="1"/>
              <w:jc w:val="center"/>
              <w:rPr>
                <w:rFonts w:asciiTheme="minorHAnsi" w:hAnsiTheme="minorHAnsi" w:cstheme="minorHAnsi"/>
                <w:sz w:val="22"/>
                <w:szCs w:val="22"/>
                <w:lang w:eastAsia="en-US"/>
              </w:rPr>
            </w:pPr>
            <w:r w:rsidRPr="005B1421">
              <w:rPr>
                <w:rFonts w:asciiTheme="minorHAnsi" w:hAnsiTheme="minorHAnsi" w:cstheme="minorHAnsi"/>
                <w:b/>
                <w:bCs/>
                <w:sz w:val="22"/>
                <w:szCs w:val="22"/>
                <w:lang w:eastAsia="en-US"/>
              </w:rPr>
              <w:t>Vision</w:t>
            </w:r>
          </w:p>
        </w:tc>
      </w:tr>
      <w:tr w:rsidR="00B5335E" w:rsidRPr="005B1421" w:rsidTr="005B1421">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Answers</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Why?</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What?</w:t>
            </w:r>
          </w:p>
        </w:tc>
      </w:tr>
      <w:tr w:rsidR="00B5335E" w:rsidRPr="005B1421" w:rsidTr="005B1421">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Definition</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Statement</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Snapshot</w:t>
            </w:r>
          </w:p>
        </w:tc>
      </w:tr>
      <w:tr w:rsidR="00B5335E" w:rsidRPr="005B1421" w:rsidTr="005B1421">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Length</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Short</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Long</w:t>
            </w:r>
          </w:p>
        </w:tc>
      </w:tr>
      <w:tr w:rsidR="00B5335E" w:rsidRPr="005B1421" w:rsidTr="005B1421">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Purpose</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Informs</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Inspires</w:t>
            </w:r>
          </w:p>
        </w:tc>
      </w:tr>
      <w:tr w:rsidR="00B5335E" w:rsidRPr="005B1421" w:rsidTr="005B1421">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Activity</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Doing</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Seeing</w:t>
            </w:r>
          </w:p>
        </w:tc>
      </w:tr>
      <w:tr w:rsidR="00B5335E" w:rsidRPr="005B1421" w:rsidTr="005B1421">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Source</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Head</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Heart</w:t>
            </w:r>
          </w:p>
        </w:tc>
      </w:tr>
      <w:tr w:rsidR="00B5335E" w:rsidRPr="005B1421" w:rsidTr="005B1421">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Order</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First</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Second</w:t>
            </w:r>
          </w:p>
        </w:tc>
      </w:tr>
      <w:tr w:rsidR="00B5335E" w:rsidRPr="005B1421" w:rsidTr="005B1421">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Effect</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Clarifies</w:t>
            </w:r>
          </w:p>
        </w:tc>
        <w:tc>
          <w:tcPr>
            <w:tcW w:w="0" w:type="auto"/>
            <w:hideMark/>
          </w:tcPr>
          <w:p w:rsidR="00B5335E" w:rsidRPr="005B1421" w:rsidRDefault="00B5335E">
            <w:pPr>
              <w:spacing w:before="100" w:beforeAutospacing="1" w:after="100" w:afterAutospacing="1"/>
              <w:rPr>
                <w:rFonts w:asciiTheme="minorHAnsi" w:hAnsiTheme="minorHAnsi" w:cstheme="minorHAnsi"/>
                <w:sz w:val="22"/>
                <w:szCs w:val="22"/>
                <w:lang w:eastAsia="en-US"/>
              </w:rPr>
            </w:pPr>
            <w:r w:rsidRPr="005B1421">
              <w:rPr>
                <w:rFonts w:asciiTheme="minorHAnsi" w:hAnsiTheme="minorHAnsi" w:cstheme="minorHAnsi"/>
                <w:sz w:val="22"/>
                <w:szCs w:val="22"/>
                <w:lang w:eastAsia="en-US"/>
              </w:rPr>
              <w:t>Challenges</w:t>
            </w:r>
          </w:p>
        </w:tc>
      </w:tr>
    </w:tbl>
    <w:p w:rsidR="007D7686" w:rsidRPr="007D7686" w:rsidRDefault="007D7686" w:rsidP="007D7686">
      <w:pPr>
        <w:spacing w:before="100" w:beforeAutospacing="1" w:after="100" w:afterAutospacing="1"/>
        <w:rPr>
          <w:rFonts w:asciiTheme="minorHAnsi" w:hAnsiTheme="minorHAnsi" w:cstheme="minorHAnsi"/>
          <w:sz w:val="22"/>
          <w:szCs w:val="22"/>
        </w:rPr>
      </w:pPr>
      <w:r w:rsidRPr="007D7686">
        <w:rPr>
          <w:rFonts w:asciiTheme="minorHAnsi" w:hAnsiTheme="minorHAnsi" w:cstheme="minorHAnsi"/>
          <w:sz w:val="22"/>
          <w:szCs w:val="22"/>
        </w:rPr>
        <w:t>(</w:t>
      </w:r>
      <w:proofErr w:type="gramStart"/>
      <w:r w:rsidRPr="007D7686">
        <w:rPr>
          <w:rFonts w:asciiTheme="minorHAnsi" w:hAnsiTheme="minorHAnsi" w:cstheme="minorHAnsi"/>
          <w:sz w:val="22"/>
          <w:szCs w:val="22"/>
        </w:rPr>
        <w:t>from</w:t>
      </w:r>
      <w:proofErr w:type="gramEnd"/>
      <w:r w:rsidRPr="007D7686">
        <w:rPr>
          <w:rFonts w:asciiTheme="minorHAnsi" w:hAnsiTheme="minorHAnsi" w:cstheme="minorHAnsi"/>
          <w:sz w:val="22"/>
          <w:szCs w:val="22"/>
        </w:rPr>
        <w:t xml:space="preserve"> http://www.glennsmithcoaching.com/mission-vs-vision-whats-difference)</w:t>
      </w:r>
    </w:p>
    <w:p w:rsidR="00B5335E" w:rsidRPr="005B1421" w:rsidRDefault="00B5335E" w:rsidP="005B1421">
      <w:pPr>
        <w:spacing w:before="100" w:beforeAutospacing="1" w:after="100" w:afterAutospacing="1"/>
      </w:pPr>
    </w:p>
    <w:sectPr w:rsidR="00B5335E" w:rsidRPr="005B1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52"/>
    <w:rsid w:val="00456252"/>
    <w:rsid w:val="005B1421"/>
    <w:rsid w:val="007D7686"/>
    <w:rsid w:val="008E01C8"/>
    <w:rsid w:val="00B5335E"/>
    <w:rsid w:val="00C90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5E"/>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53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33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B5335E"/>
    <w:pPr>
      <w:spacing w:before="100" w:beforeAutospacing="1" w:after="100" w:afterAutospacing="1"/>
    </w:pPr>
  </w:style>
  <w:style w:type="character" w:customStyle="1" w:styleId="Heading2Char">
    <w:name w:val="Heading 2 Char"/>
    <w:basedOn w:val="DefaultParagraphFont"/>
    <w:link w:val="Heading2"/>
    <w:uiPriority w:val="9"/>
    <w:rsid w:val="00B5335E"/>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5335E"/>
    <w:rPr>
      <w:rFonts w:asciiTheme="majorHAnsi" w:eastAsiaTheme="majorEastAsia" w:hAnsiTheme="majorHAnsi" w:cstheme="majorBidi"/>
      <w:b/>
      <w:bCs/>
      <w:color w:val="4F81BD" w:themeColor="accent1"/>
      <w:sz w:val="24"/>
      <w:szCs w:val="24"/>
      <w:lang w:eastAsia="en-GB"/>
    </w:rPr>
  </w:style>
  <w:style w:type="table" w:styleId="TableGrid">
    <w:name w:val="Table Grid"/>
    <w:basedOn w:val="TableNormal"/>
    <w:uiPriority w:val="59"/>
    <w:rsid w:val="00B5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6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5E"/>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53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33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spacing">
    <w:name w:val="gmail-msonospacing"/>
    <w:basedOn w:val="Normal"/>
    <w:rsid w:val="00B5335E"/>
    <w:pPr>
      <w:spacing w:before="100" w:beforeAutospacing="1" w:after="100" w:afterAutospacing="1"/>
    </w:pPr>
  </w:style>
  <w:style w:type="character" w:customStyle="1" w:styleId="Heading2Char">
    <w:name w:val="Heading 2 Char"/>
    <w:basedOn w:val="DefaultParagraphFont"/>
    <w:link w:val="Heading2"/>
    <w:uiPriority w:val="9"/>
    <w:rsid w:val="00B5335E"/>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B5335E"/>
    <w:rPr>
      <w:rFonts w:asciiTheme="majorHAnsi" w:eastAsiaTheme="majorEastAsia" w:hAnsiTheme="majorHAnsi" w:cstheme="majorBidi"/>
      <w:b/>
      <w:bCs/>
      <w:color w:val="4F81BD" w:themeColor="accent1"/>
      <w:sz w:val="24"/>
      <w:szCs w:val="24"/>
      <w:lang w:eastAsia="en-GB"/>
    </w:rPr>
  </w:style>
  <w:style w:type="table" w:styleId="TableGrid">
    <w:name w:val="Table Grid"/>
    <w:basedOn w:val="TableNormal"/>
    <w:uiPriority w:val="59"/>
    <w:rsid w:val="00B5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107">
      <w:bodyDiv w:val="1"/>
      <w:marLeft w:val="0"/>
      <w:marRight w:val="0"/>
      <w:marTop w:val="0"/>
      <w:marBottom w:val="0"/>
      <w:divBdr>
        <w:top w:val="none" w:sz="0" w:space="0" w:color="auto"/>
        <w:left w:val="none" w:sz="0" w:space="0" w:color="auto"/>
        <w:bottom w:val="none" w:sz="0" w:space="0" w:color="auto"/>
        <w:right w:val="none" w:sz="0" w:space="0" w:color="auto"/>
      </w:divBdr>
    </w:div>
    <w:div w:id="590549382">
      <w:bodyDiv w:val="1"/>
      <w:marLeft w:val="0"/>
      <w:marRight w:val="0"/>
      <w:marTop w:val="0"/>
      <w:marBottom w:val="0"/>
      <w:divBdr>
        <w:top w:val="none" w:sz="0" w:space="0" w:color="auto"/>
        <w:left w:val="none" w:sz="0" w:space="0" w:color="auto"/>
        <w:bottom w:val="none" w:sz="0" w:space="0" w:color="auto"/>
        <w:right w:val="none" w:sz="0" w:space="0" w:color="auto"/>
      </w:divBdr>
    </w:div>
    <w:div w:id="17678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ticobserving.org/images/pdf/Board_meetings/2017_Frascati/Master-Planning-101-v.07.20.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2017-06-22T10:30:00Z</dcterms:created>
  <dcterms:modified xsi:type="dcterms:W3CDTF">2017-06-22T11:00:00Z</dcterms:modified>
</cp:coreProperties>
</file>