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31" w:rsidRDefault="007C0D61" w:rsidP="00884CBE">
      <w:pPr>
        <w:pStyle w:val="Heading1"/>
      </w:pPr>
      <w:r w:rsidRPr="00884CBE">
        <w:t>G3 Task Force: Mandate and Outcom</w:t>
      </w:r>
      <w:r w:rsidR="001753B7" w:rsidRPr="00884CBE">
        <w:t>es</w:t>
      </w:r>
    </w:p>
    <w:p w:rsidR="00884CBE" w:rsidRPr="00884CBE" w:rsidRDefault="00884CBE" w:rsidP="00884CBE"/>
    <w:p w:rsidR="001753B7" w:rsidRPr="00884CBE" w:rsidRDefault="001753B7">
      <w:pPr>
        <w:rPr>
          <w:i/>
          <w:lang w:val="en-US"/>
        </w:rPr>
      </w:pPr>
      <w:r w:rsidRPr="00884CBE">
        <w:t xml:space="preserve">Goal 3 of SAON </w:t>
      </w:r>
      <w:r w:rsidRPr="00884CBE">
        <w:rPr>
          <w:lang w:val="en-US"/>
        </w:rPr>
        <w:t xml:space="preserve">is </w:t>
      </w:r>
      <w:r w:rsidRPr="00884CBE">
        <w:rPr>
          <w:i/>
          <w:lang w:val="en-US"/>
        </w:rPr>
        <w:t>Ensuring sustainability of Arctic Observing</w:t>
      </w:r>
      <w:r w:rsidRPr="00884CBE">
        <w:rPr>
          <w:lang w:val="en-US"/>
        </w:rPr>
        <w:t xml:space="preserve">. The SAON Implementation Plan notes that </w:t>
      </w:r>
      <w:r w:rsidRPr="00884CBE">
        <w:rPr>
          <w:i/>
          <w:lang w:val="en-US"/>
        </w:rPr>
        <w:t>g</w:t>
      </w:r>
      <w:r w:rsidRPr="00884CBE">
        <w:rPr>
          <w:i/>
          <w:lang w:val="en-US"/>
        </w:rPr>
        <w:t xml:space="preserve">oals 1 and 2 can only be successful if the need for improved coordinated Arctic observation and sharing of data and resources are supported by all relevant stakeholders over the long term. </w:t>
      </w:r>
    </w:p>
    <w:p w:rsidR="001753B7" w:rsidRPr="00884CBE" w:rsidRDefault="001753B7" w:rsidP="001753B7">
      <w:pPr>
        <w:spacing w:after="0"/>
        <w:rPr>
          <w:lang w:val="en-US"/>
        </w:rPr>
      </w:pPr>
      <w:r w:rsidRPr="00884CBE">
        <w:rPr>
          <w:lang w:val="en-US"/>
        </w:rPr>
        <w:t>Goal 3 has three objectives:</w:t>
      </w:r>
    </w:p>
    <w:p w:rsidR="001753B7" w:rsidRPr="00884CBE" w:rsidRDefault="001753B7" w:rsidP="001753B7">
      <w:pPr>
        <w:pStyle w:val="ListParagraph"/>
        <w:numPr>
          <w:ilvl w:val="0"/>
          <w:numId w:val="1"/>
        </w:numPr>
        <w:rPr>
          <w:lang w:val="en-US"/>
        </w:rPr>
      </w:pPr>
      <w:r w:rsidRPr="00884CBE">
        <w:rPr>
          <w:lang w:val="en-US"/>
        </w:rPr>
        <w:t>Develop a strategy for long-term financial commitment in Arctic observations</w:t>
      </w:r>
      <w:r w:rsidR="00FA5422">
        <w:rPr>
          <w:lang w:val="en-US"/>
        </w:rPr>
        <w:t xml:space="preserve"> (Appendix 1);</w:t>
      </w:r>
    </w:p>
    <w:p w:rsidR="001753B7" w:rsidRPr="00884CBE" w:rsidRDefault="001753B7" w:rsidP="001753B7">
      <w:pPr>
        <w:pStyle w:val="ListParagraph"/>
        <w:numPr>
          <w:ilvl w:val="0"/>
          <w:numId w:val="1"/>
        </w:numPr>
        <w:rPr>
          <w:lang w:val="en-US"/>
        </w:rPr>
      </w:pPr>
      <w:r w:rsidRPr="00884CBE">
        <w:rPr>
          <w:lang w:val="en-US"/>
        </w:rPr>
        <w:t>Apply the strategy developed in 3.1 to advocate</w:t>
      </w:r>
      <w:r w:rsidR="00FA5422">
        <w:rPr>
          <w:lang w:val="en-US"/>
        </w:rPr>
        <w:t xml:space="preserve"> </w:t>
      </w:r>
      <w:r w:rsidRPr="00884CBE">
        <w:rPr>
          <w:lang w:val="en-US"/>
        </w:rPr>
        <w:t>to funding agencies and states to ensure sustainability of Arctic observing; and</w:t>
      </w:r>
    </w:p>
    <w:p w:rsidR="001753B7" w:rsidRPr="00884CBE" w:rsidRDefault="001753B7" w:rsidP="001753B7">
      <w:pPr>
        <w:pStyle w:val="ListParagraph"/>
        <w:numPr>
          <w:ilvl w:val="0"/>
          <w:numId w:val="1"/>
        </w:numPr>
      </w:pPr>
      <w:r w:rsidRPr="00884CBE">
        <w:rPr>
          <w:lang w:val="en-US"/>
        </w:rPr>
        <w:t>Secure funding for international SAON secretariat and operational costs</w:t>
      </w:r>
    </w:p>
    <w:p w:rsidR="00EC708E" w:rsidRPr="00884CBE" w:rsidRDefault="001753B7" w:rsidP="001753B7">
      <w:pPr>
        <w:rPr>
          <w:lang w:val="en-US"/>
        </w:rPr>
      </w:pPr>
      <w:r w:rsidRPr="00884CBE">
        <w:t xml:space="preserve">The G3 </w:t>
      </w:r>
      <w:r w:rsidRPr="00884CBE">
        <w:rPr>
          <w:lang w:val="en-US"/>
        </w:rPr>
        <w:t xml:space="preserve">Task Force was established to develop a plan for the implementation of SAON’s Goal 3. While Goal 1 and 2 are directed towards the Committees, Goal 3 is directed towards the Board. </w:t>
      </w:r>
    </w:p>
    <w:p w:rsidR="00EC708E" w:rsidRPr="00884CBE" w:rsidRDefault="00EC708E" w:rsidP="00EC708E">
      <w:pPr>
        <w:rPr>
          <w:b/>
          <w:i/>
          <w:u w:val="single"/>
          <w:lang w:val="en-US"/>
        </w:rPr>
      </w:pPr>
      <w:r w:rsidRPr="00884CBE">
        <w:rPr>
          <w:b/>
          <w:i/>
          <w:u w:val="single"/>
          <w:lang w:val="en-US"/>
        </w:rPr>
        <w:t xml:space="preserve">Objective 3.1: </w:t>
      </w:r>
      <w:r w:rsidRPr="00884CBE">
        <w:rPr>
          <w:b/>
          <w:i/>
          <w:u w:val="single"/>
          <w:lang w:val="en-US"/>
        </w:rPr>
        <w:t>Develop a strategy for long-term financial commitment in Arctic observations</w:t>
      </w:r>
    </w:p>
    <w:p w:rsidR="001753B7" w:rsidRPr="00884CBE" w:rsidRDefault="001753B7" w:rsidP="001753B7">
      <w:pPr>
        <w:rPr>
          <w:lang w:val="en-US"/>
        </w:rPr>
      </w:pPr>
      <w:r w:rsidRPr="00884CBE">
        <w:rPr>
          <w:lang w:val="en-US"/>
        </w:rPr>
        <w:t xml:space="preserve">During the review of Objective 3.1, the Task Force realized that the tasks within Objective 3.1 have a close relationship to Goal 1 (which is directed towards CON). </w:t>
      </w:r>
    </w:p>
    <w:p w:rsidR="001753B7" w:rsidRPr="00884CBE" w:rsidRDefault="001753B7" w:rsidP="001753B7">
      <w:pPr>
        <w:rPr>
          <w:lang w:val="en-US"/>
        </w:rPr>
      </w:pPr>
      <w:r w:rsidRPr="00884CBE">
        <w:rPr>
          <w:lang w:val="en-US"/>
        </w:rPr>
        <w:t xml:space="preserve">The conclusion from the Task Force and the message to the Committees is that these should formulate fundable projects under ADC and CON. </w:t>
      </w:r>
      <w:r w:rsidR="00FA5422" w:rsidRPr="00884CBE">
        <w:rPr>
          <w:lang w:val="en-US"/>
        </w:rPr>
        <w:t>As a follow up, the CON chairmanship have produced a mapping of the tasks under Objective 3 to the CON work plan</w:t>
      </w:r>
      <w:r w:rsidR="00FA5422">
        <w:rPr>
          <w:lang w:val="en-US"/>
        </w:rPr>
        <w:t xml:space="preserve"> (Appendix 2)</w:t>
      </w:r>
      <w:r w:rsidR="00FA5422" w:rsidRPr="00884CBE">
        <w:rPr>
          <w:lang w:val="en-US"/>
        </w:rPr>
        <w:t>. This mapping also contains an overview of assignment potential to be covered by an AOS WG.</w:t>
      </w:r>
    </w:p>
    <w:p w:rsidR="00EC708E" w:rsidRPr="00884CBE" w:rsidRDefault="00EC708E" w:rsidP="00EC708E">
      <w:pPr>
        <w:rPr>
          <w:b/>
          <w:i/>
          <w:u w:val="single"/>
        </w:rPr>
      </w:pPr>
      <w:r w:rsidRPr="00884CBE">
        <w:rPr>
          <w:b/>
          <w:i/>
          <w:u w:val="single"/>
          <w:lang w:val="en-US"/>
        </w:rPr>
        <w:t xml:space="preserve">Objective 3.3 </w:t>
      </w:r>
      <w:r w:rsidRPr="00884CBE">
        <w:rPr>
          <w:b/>
          <w:i/>
          <w:u w:val="single"/>
          <w:lang w:val="en-US"/>
        </w:rPr>
        <w:t>Secure funding for international SAON secretariat and operational costs</w:t>
      </w:r>
    </w:p>
    <w:p w:rsidR="00EC708E" w:rsidRPr="00884CBE" w:rsidRDefault="00FA5422" w:rsidP="00FA5422">
      <w:pPr>
        <w:rPr>
          <w:lang w:val="en-US"/>
        </w:rPr>
      </w:pPr>
      <w:r>
        <w:t xml:space="preserve">Norway has funded a position at the AMAP Secretariat as the Secretary of SAON since 2011. In 2018, the Task Force initiated </w:t>
      </w:r>
      <w:proofErr w:type="gramStart"/>
      <w:r>
        <w:t>a  process</w:t>
      </w:r>
      <w:proofErr w:type="gramEnd"/>
      <w:r>
        <w:t xml:space="preserve"> to send r</w:t>
      </w:r>
      <w:r w:rsidR="00884CBE">
        <w:t xml:space="preserve">equests to national SAON Board members, asking these to provide support for the SAON Secretariat. </w:t>
      </w:r>
      <w:r>
        <w:t>Firm p</w:t>
      </w:r>
      <w:r w:rsidR="00884CBE">
        <w:t>ositive responses have been received from Finland, Japan</w:t>
      </w:r>
      <w:r>
        <w:t xml:space="preserve"> and </w:t>
      </w:r>
      <w:r w:rsidR="00884CBE">
        <w:t>USA</w:t>
      </w:r>
      <w:r>
        <w:t>, while other countries have signalled an interest in engaging in this</w:t>
      </w:r>
      <w:r w:rsidR="00884CBE">
        <w:t xml:space="preserve">. </w:t>
      </w:r>
      <w:r>
        <w:t>The actual funding process will be initiated in the beginning of 2019.</w:t>
      </w:r>
    </w:p>
    <w:p w:rsidR="00EC708E" w:rsidRPr="00884CBE" w:rsidRDefault="00EC708E" w:rsidP="001753B7">
      <w:pPr>
        <w:rPr>
          <w:b/>
          <w:i/>
          <w:u w:val="single"/>
          <w:lang w:val="en-US"/>
        </w:rPr>
      </w:pPr>
      <w:r w:rsidRPr="00884CBE">
        <w:rPr>
          <w:b/>
          <w:i/>
          <w:u w:val="single"/>
          <w:lang w:val="en-US"/>
        </w:rPr>
        <w:t>Membership</w:t>
      </w:r>
    </w:p>
    <w:tbl>
      <w:tblPr>
        <w:tblW w:w="95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EC708E" w:rsidRPr="00884CBE" w:rsidTr="00EC708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526" w:type="dxa"/>
          </w:tcPr>
          <w:p w:rsidR="00EC708E" w:rsidRPr="00884CBE" w:rsidRDefault="00EC708E" w:rsidP="00EC708E">
            <w:pPr>
              <w:pStyle w:val="Default"/>
              <w:rPr>
                <w:sz w:val="22"/>
                <w:szCs w:val="22"/>
              </w:rPr>
            </w:pPr>
            <w:r w:rsidRPr="00884CBE">
              <w:rPr>
                <w:sz w:val="22"/>
                <w:szCs w:val="22"/>
              </w:rPr>
              <w:t xml:space="preserve">Task Force members have been </w:t>
            </w:r>
            <w:r w:rsidRPr="00884CBE">
              <w:rPr>
                <w:sz w:val="22"/>
                <w:szCs w:val="22"/>
              </w:rPr>
              <w:t xml:space="preserve">Allen Pope, </w:t>
            </w:r>
            <w:r w:rsidRPr="00884CBE">
              <w:rPr>
                <w:sz w:val="22"/>
                <w:szCs w:val="22"/>
              </w:rPr>
              <w:t xml:space="preserve">Attilio Gambardella, </w:t>
            </w:r>
            <w:r w:rsidRPr="00884CBE">
              <w:rPr>
                <w:sz w:val="22"/>
                <w:szCs w:val="22"/>
              </w:rPr>
              <w:t xml:space="preserve">Eva Kruemmel, Hannele Savela, Jan Rene Larsen, Larry Hinzman, </w:t>
            </w:r>
            <w:r w:rsidRPr="00884CBE">
              <w:rPr>
                <w:sz w:val="22"/>
                <w:szCs w:val="22"/>
              </w:rPr>
              <w:t xml:space="preserve">Lars </w:t>
            </w:r>
            <w:proofErr w:type="spellStart"/>
            <w:r w:rsidRPr="00884CBE">
              <w:rPr>
                <w:sz w:val="22"/>
                <w:szCs w:val="22"/>
              </w:rPr>
              <w:t>Kullerud</w:t>
            </w:r>
            <w:proofErr w:type="spellEnd"/>
            <w:r w:rsidRPr="00884CBE">
              <w:rPr>
                <w:sz w:val="22"/>
                <w:szCs w:val="22"/>
              </w:rPr>
              <w:t xml:space="preserve">, Lisa </w:t>
            </w:r>
            <w:proofErr w:type="spellStart"/>
            <w:r w:rsidRPr="00884CBE">
              <w:rPr>
                <w:sz w:val="22"/>
                <w:szCs w:val="22"/>
              </w:rPr>
              <w:t>Loseto</w:t>
            </w:r>
            <w:proofErr w:type="spellEnd"/>
            <w:r w:rsidRPr="00884CBE">
              <w:rPr>
                <w:sz w:val="22"/>
                <w:szCs w:val="22"/>
              </w:rPr>
              <w:t xml:space="preserve">, Nicole Biebow, </w:t>
            </w:r>
            <w:r w:rsidRPr="00884CBE">
              <w:rPr>
                <w:sz w:val="22"/>
                <w:szCs w:val="22"/>
              </w:rPr>
              <w:t xml:space="preserve">Sandy </w:t>
            </w:r>
            <w:proofErr w:type="spellStart"/>
            <w:r w:rsidRPr="00884CBE">
              <w:rPr>
                <w:sz w:val="22"/>
                <w:szCs w:val="22"/>
              </w:rPr>
              <w:t>Starkweather</w:t>
            </w:r>
            <w:proofErr w:type="spellEnd"/>
            <w:r w:rsidRPr="00884CBE">
              <w:rPr>
                <w:sz w:val="22"/>
                <w:szCs w:val="22"/>
              </w:rPr>
              <w:t xml:space="preserve">, </w:t>
            </w:r>
            <w:proofErr w:type="spellStart"/>
            <w:r w:rsidRPr="00884CBE">
              <w:rPr>
                <w:sz w:val="22"/>
                <w:szCs w:val="22"/>
              </w:rPr>
              <w:t>Thorsteinn</w:t>
            </w:r>
            <w:proofErr w:type="spellEnd"/>
            <w:r w:rsidRPr="00884CBE">
              <w:rPr>
                <w:sz w:val="22"/>
                <w:szCs w:val="22"/>
              </w:rPr>
              <w:t xml:space="preserve"> </w:t>
            </w:r>
            <w:proofErr w:type="spellStart"/>
            <w:r w:rsidRPr="00884CBE">
              <w:rPr>
                <w:sz w:val="22"/>
                <w:szCs w:val="22"/>
              </w:rPr>
              <w:t>Gunnarsson</w:t>
            </w:r>
            <w:proofErr w:type="spellEnd"/>
            <w:r w:rsidRPr="00884CBE">
              <w:rPr>
                <w:sz w:val="22"/>
                <w:szCs w:val="22"/>
              </w:rPr>
              <w:t xml:space="preserve">, Will Ambrose, </w:t>
            </w:r>
            <w:r w:rsidR="00FA5422">
              <w:rPr>
                <w:sz w:val="22"/>
                <w:szCs w:val="22"/>
              </w:rPr>
              <w:t xml:space="preserve">and </w:t>
            </w:r>
            <w:r w:rsidRPr="00884CBE">
              <w:rPr>
                <w:sz w:val="22"/>
                <w:szCs w:val="22"/>
              </w:rPr>
              <w:t>Yuji Kodama</w:t>
            </w:r>
            <w:r w:rsidRPr="00884CBE">
              <w:rPr>
                <w:sz w:val="22"/>
                <w:szCs w:val="22"/>
              </w:rPr>
              <w:t>.</w:t>
            </w:r>
            <w:r w:rsidRPr="00884CBE">
              <w:rPr>
                <w:sz w:val="22"/>
                <w:szCs w:val="22"/>
              </w:rPr>
              <w:t xml:space="preserve"> </w:t>
            </w:r>
          </w:p>
        </w:tc>
      </w:tr>
    </w:tbl>
    <w:p w:rsidR="00EC708E" w:rsidRPr="00FA5422" w:rsidRDefault="00EC708E" w:rsidP="00EC708E"/>
    <w:p w:rsidR="00EC708E" w:rsidRPr="00884CBE" w:rsidRDefault="00EC708E">
      <w:pPr>
        <w:rPr>
          <w:lang w:val="en-US"/>
        </w:rPr>
      </w:pPr>
      <w:r w:rsidRPr="00884CBE">
        <w:rPr>
          <w:lang w:val="en-US"/>
        </w:rPr>
        <w:br w:type="page"/>
      </w:r>
    </w:p>
    <w:p w:rsidR="00EC708E" w:rsidRPr="00884CBE" w:rsidRDefault="00EC708E" w:rsidP="00884CBE">
      <w:pPr>
        <w:pStyle w:val="Heading2"/>
      </w:pPr>
      <w:r w:rsidRPr="00884CBE">
        <w:rPr>
          <w:lang w:val="en-US"/>
        </w:rPr>
        <w:lastRenderedPageBreak/>
        <w:t>Appendix</w:t>
      </w:r>
      <w:r w:rsidR="00884CBE" w:rsidRPr="00884CBE">
        <w:rPr>
          <w:lang w:val="en-US"/>
        </w:rPr>
        <w:t xml:space="preserve"> 1</w:t>
      </w:r>
      <w:r w:rsidRPr="00884CBE">
        <w:rPr>
          <w:lang w:val="en-US"/>
        </w:rPr>
        <w:t xml:space="preserve">: </w:t>
      </w:r>
      <w:bookmarkStart w:id="0" w:name="_Toc519517057"/>
      <w:r w:rsidRPr="00884CBE">
        <w:t>Develop a strategy for long-term financial commitment in Arctic observations</w:t>
      </w:r>
      <w:bookmarkEnd w:id="0"/>
      <w:r w:rsidRPr="00884CBE">
        <w:t xml:space="preserve"> (SAON Objective 3.1)</w:t>
      </w:r>
    </w:p>
    <w:p w:rsidR="00EC708E" w:rsidRPr="00884CBE" w:rsidRDefault="00EC708E" w:rsidP="00EC708E">
      <w:pPr>
        <w:tabs>
          <w:tab w:val="right" w:pos="9025"/>
        </w:tabs>
        <w:spacing w:before="200"/>
      </w:pPr>
      <w:r w:rsidRPr="00884CBE">
        <w:rPr>
          <w:u w:val="single"/>
        </w:rPr>
        <w:t>Description</w:t>
      </w:r>
      <w:r w:rsidRPr="00884CBE">
        <w:t xml:space="preserve">: </w:t>
      </w:r>
    </w:p>
    <w:p w:rsidR="00EC708E" w:rsidRPr="00884CBE" w:rsidRDefault="00EC708E" w:rsidP="00EC708E">
      <w:pPr>
        <w:tabs>
          <w:tab w:val="right" w:pos="9025"/>
        </w:tabs>
        <w:spacing w:before="200"/>
      </w:pPr>
      <w:r w:rsidRPr="00884CBE">
        <w:t xml:space="preserve">SAON has the mandate to mobilize new/additional resources to meet observing needs as well as promote cooperation and coordination among existing initiatives. </w:t>
      </w:r>
    </w:p>
    <w:p w:rsidR="00EC708E" w:rsidRPr="00884CBE" w:rsidRDefault="00EC708E" w:rsidP="00EC708E">
      <w:pPr>
        <w:tabs>
          <w:tab w:val="right" w:pos="9025"/>
        </w:tabs>
      </w:pPr>
      <w:r w:rsidRPr="00884CBE">
        <w:t>SAON shall develop a short and concise engagement strategy to ensure long term support and engagement for Arctic Observations. The strategy will address:</w:t>
      </w:r>
    </w:p>
    <w:p w:rsidR="00EC708E" w:rsidRPr="00884CBE" w:rsidRDefault="00EC708E" w:rsidP="00EC708E">
      <w:pPr>
        <w:pStyle w:val="ListParagraph"/>
        <w:numPr>
          <w:ilvl w:val="0"/>
          <w:numId w:val="3"/>
        </w:numPr>
        <w:tabs>
          <w:tab w:val="right" w:pos="9025"/>
        </w:tabs>
        <w:spacing w:after="0"/>
        <w:contextualSpacing w:val="0"/>
      </w:pPr>
      <w:r w:rsidRPr="00884CBE">
        <w:t>A short list of key rationales for why long term – sustained – observation is needed (including examples of successful sectors, e.g. – remote sensing, meteorology – and where the advantages are obvious, such as community-based monitoring.)</w:t>
      </w:r>
    </w:p>
    <w:p w:rsidR="00EC708E" w:rsidRPr="00884CBE" w:rsidRDefault="00EC708E" w:rsidP="00EC708E">
      <w:pPr>
        <w:pStyle w:val="ListParagraph"/>
        <w:numPr>
          <w:ilvl w:val="0"/>
          <w:numId w:val="3"/>
        </w:numPr>
        <w:tabs>
          <w:tab w:val="right" w:pos="9025"/>
        </w:tabs>
        <w:spacing w:after="0"/>
        <w:contextualSpacing w:val="0"/>
      </w:pPr>
      <w:r w:rsidRPr="00884CBE">
        <w:t>A set of arguments why existing observation system benefits from cooperation, infrastructure and data sharing (</w:t>
      </w:r>
      <w:proofErr w:type="spellStart"/>
      <w:r w:rsidRPr="00884CBE">
        <w:t>eg</w:t>
      </w:r>
      <w:proofErr w:type="spellEnd"/>
      <w:r w:rsidRPr="00884CBE">
        <w:t xml:space="preserve"> quality of data, necessity of circumpolar coverage, cost saving etc.) </w:t>
      </w:r>
    </w:p>
    <w:p w:rsidR="00EC708E" w:rsidRPr="00884CBE" w:rsidRDefault="00EC708E" w:rsidP="00EC708E">
      <w:pPr>
        <w:pStyle w:val="ListParagraph"/>
        <w:numPr>
          <w:ilvl w:val="0"/>
          <w:numId w:val="3"/>
        </w:numPr>
        <w:tabs>
          <w:tab w:val="right" w:pos="9025"/>
        </w:tabs>
        <w:spacing w:after="0"/>
        <w:contextualSpacing w:val="0"/>
      </w:pPr>
      <w:r w:rsidRPr="00884CBE">
        <w:t>Create an overview of observation strategies of existing actors and identify places where cooperation would help</w:t>
      </w:r>
    </w:p>
    <w:p w:rsidR="00EC708E" w:rsidRPr="00884CBE" w:rsidRDefault="00EC708E" w:rsidP="00EC708E">
      <w:pPr>
        <w:pStyle w:val="ListParagraph"/>
        <w:numPr>
          <w:ilvl w:val="0"/>
          <w:numId w:val="3"/>
        </w:numPr>
        <w:tabs>
          <w:tab w:val="right" w:pos="9025"/>
        </w:tabs>
        <w:spacing w:after="0"/>
        <w:contextualSpacing w:val="0"/>
      </w:pPr>
      <w:r w:rsidRPr="00884CBE">
        <w:t>Create an overview of observation strategies to identify gaps</w:t>
      </w:r>
    </w:p>
    <w:p w:rsidR="00EC708E" w:rsidRPr="00884CBE" w:rsidRDefault="00EC708E" w:rsidP="00EC708E">
      <w:pPr>
        <w:pStyle w:val="ListParagraph"/>
        <w:numPr>
          <w:ilvl w:val="0"/>
          <w:numId w:val="3"/>
        </w:numPr>
        <w:tabs>
          <w:tab w:val="right" w:pos="9025"/>
        </w:tabs>
        <w:spacing w:after="0"/>
        <w:contextualSpacing w:val="0"/>
      </w:pPr>
      <w:r w:rsidRPr="00884CBE">
        <w:t xml:space="preserve">A discussion on the challenge of national priorities vs circumpolar coordination priorities, and assessment of the benefits of Arctic coordination for the respective national observation priorities </w:t>
      </w:r>
    </w:p>
    <w:p w:rsidR="00EC708E" w:rsidRPr="00884CBE" w:rsidRDefault="00EC708E" w:rsidP="00EC708E">
      <w:pPr>
        <w:pStyle w:val="ListParagraph"/>
        <w:numPr>
          <w:ilvl w:val="0"/>
          <w:numId w:val="3"/>
        </w:numPr>
        <w:tabs>
          <w:tab w:val="right" w:pos="9025"/>
        </w:tabs>
        <w:spacing w:after="0"/>
        <w:contextualSpacing w:val="0"/>
      </w:pPr>
      <w:r w:rsidRPr="00884CBE">
        <w:t>A summary with main societal benefits of long-term monitoring in the Arctic</w:t>
      </w:r>
    </w:p>
    <w:p w:rsidR="00EC708E" w:rsidRPr="00884CBE" w:rsidRDefault="00EC708E" w:rsidP="00EC708E">
      <w:pPr>
        <w:pStyle w:val="ListParagraph"/>
        <w:numPr>
          <w:ilvl w:val="0"/>
          <w:numId w:val="3"/>
        </w:numPr>
        <w:tabs>
          <w:tab w:val="right" w:pos="9025"/>
        </w:tabs>
        <w:spacing w:after="0"/>
        <w:contextualSpacing w:val="0"/>
      </w:pPr>
      <w:r w:rsidRPr="00884CBE">
        <w:t>A list of key actors that would benefit from improved observation cooperation – with concrete ideas on advantages</w:t>
      </w:r>
    </w:p>
    <w:p w:rsidR="00EC708E" w:rsidRPr="00884CBE" w:rsidRDefault="00EC708E" w:rsidP="00EC708E">
      <w:pPr>
        <w:pStyle w:val="ListParagraph"/>
        <w:numPr>
          <w:ilvl w:val="0"/>
          <w:numId w:val="3"/>
        </w:numPr>
        <w:tabs>
          <w:tab w:val="right" w:pos="9025"/>
        </w:tabs>
        <w:spacing w:after="0"/>
        <w:contextualSpacing w:val="0"/>
      </w:pPr>
      <w:r w:rsidRPr="00884CBE">
        <w:t>A list of agencies/organizations that can be approached for support</w:t>
      </w:r>
    </w:p>
    <w:p w:rsidR="00884CBE" w:rsidRPr="00884CBE" w:rsidRDefault="00EC708E" w:rsidP="00884CBE">
      <w:pPr>
        <w:pStyle w:val="ListParagraph"/>
        <w:numPr>
          <w:ilvl w:val="0"/>
          <w:numId w:val="3"/>
        </w:numPr>
        <w:tabs>
          <w:tab w:val="right" w:pos="9025"/>
        </w:tabs>
        <w:spacing w:after="0"/>
        <w:contextualSpacing w:val="0"/>
        <w:rPr>
          <w:lang w:val="en-US"/>
        </w:rPr>
      </w:pPr>
      <w:r w:rsidRPr="00884CBE">
        <w:t>A break-down of costs needed for which activities.</w:t>
      </w:r>
    </w:p>
    <w:p w:rsidR="00884CBE" w:rsidRDefault="00884CBE" w:rsidP="00884CBE">
      <w:pPr>
        <w:rPr>
          <w:lang w:val="en-US"/>
        </w:rPr>
      </w:pPr>
    </w:p>
    <w:p w:rsidR="00884CBE" w:rsidRDefault="00884CBE" w:rsidP="00884CBE">
      <w:pPr>
        <w:rPr>
          <w:lang w:val="en-US"/>
        </w:rPr>
      </w:pPr>
    </w:p>
    <w:p w:rsidR="00884CBE" w:rsidRDefault="00884CBE" w:rsidP="00884CBE">
      <w:pPr>
        <w:rPr>
          <w:lang w:val="en-US"/>
        </w:rPr>
      </w:pPr>
    </w:p>
    <w:p w:rsidR="00884CBE" w:rsidRDefault="00884CBE" w:rsidP="00884CBE">
      <w:pPr>
        <w:rPr>
          <w:lang w:val="en-US"/>
        </w:rPr>
      </w:pPr>
    </w:p>
    <w:p w:rsidR="00884CBE" w:rsidRDefault="00884CBE" w:rsidP="00884CBE">
      <w:pPr>
        <w:rPr>
          <w:lang w:val="en-US"/>
        </w:rPr>
        <w:sectPr w:rsidR="00884CBE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84CBE" w:rsidRDefault="00884CBE" w:rsidP="00884CBE">
      <w:pPr>
        <w:rPr>
          <w:lang w:val="en-US"/>
        </w:rPr>
      </w:pPr>
    </w:p>
    <w:p w:rsidR="00884CBE" w:rsidRPr="00884CBE" w:rsidRDefault="00884CBE" w:rsidP="00884CBE">
      <w:pPr>
        <w:pStyle w:val="Heading2"/>
        <w:rPr>
          <w:lang w:val="en-US"/>
        </w:rPr>
      </w:pPr>
      <w:r w:rsidRPr="00884CBE">
        <w:rPr>
          <w:lang w:val="en-US"/>
        </w:rPr>
        <w:t>Appendix 2</w:t>
      </w:r>
      <w:r>
        <w:rPr>
          <w:lang w:val="en-US"/>
        </w:rPr>
        <w:t xml:space="preserve">: Mapping </w:t>
      </w:r>
      <w:r>
        <w:rPr>
          <w:lang w:val="en-US"/>
        </w:rPr>
        <w:t>of Goal 3 to CON Work Plan and Goal 1</w:t>
      </w:r>
      <w:r>
        <w:rPr>
          <w:noProof/>
          <w:lang w:eastAsia="en-GB"/>
        </w:rPr>
        <w:drawing>
          <wp:inline distT="0" distB="0" distL="0" distR="0" wp14:anchorId="6A45073A" wp14:editId="75333574">
            <wp:extent cx="7643305" cy="493221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47587" cy="493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84CBE" w:rsidRPr="00884CBE" w:rsidSect="00884C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B0" w:rsidRDefault="00DA0BB0" w:rsidP="007C0D61">
      <w:pPr>
        <w:spacing w:after="0" w:line="240" w:lineRule="auto"/>
      </w:pPr>
      <w:r>
        <w:separator/>
      </w:r>
    </w:p>
  </w:endnote>
  <w:endnote w:type="continuationSeparator" w:id="0">
    <w:p w:rsidR="00DA0BB0" w:rsidRDefault="00DA0BB0" w:rsidP="007C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B0" w:rsidRDefault="00DA0BB0" w:rsidP="007C0D61">
      <w:pPr>
        <w:spacing w:after="0" w:line="240" w:lineRule="auto"/>
      </w:pPr>
      <w:r>
        <w:separator/>
      </w:r>
    </w:p>
  </w:footnote>
  <w:footnote w:type="continuationSeparator" w:id="0">
    <w:p w:rsidR="00DA0BB0" w:rsidRDefault="00DA0BB0" w:rsidP="007C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61" w:rsidRDefault="007C0D61" w:rsidP="007C0D61">
    <w:pPr>
      <w:pStyle w:val="Header"/>
      <w:jc w:val="right"/>
    </w:pPr>
    <w:r>
      <w:t>Version 12</w:t>
    </w:r>
    <w:r w:rsidRPr="007C0D61">
      <w:rPr>
        <w:vertAlign w:val="superscript"/>
      </w:rPr>
      <w:t>th</w:t>
    </w:r>
    <w:r>
      <w:t xml:space="preserve"> February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389F"/>
    <w:multiLevelType w:val="hybridMultilevel"/>
    <w:tmpl w:val="FA0414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3049"/>
    <w:multiLevelType w:val="hybridMultilevel"/>
    <w:tmpl w:val="48EACB7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B3723E"/>
    <w:multiLevelType w:val="hybridMultilevel"/>
    <w:tmpl w:val="036A3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61"/>
    <w:rsid w:val="001753B7"/>
    <w:rsid w:val="007C0D61"/>
    <w:rsid w:val="00884CBE"/>
    <w:rsid w:val="00DA0BB0"/>
    <w:rsid w:val="00EC708E"/>
    <w:rsid w:val="00F31531"/>
    <w:rsid w:val="00FA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C708E"/>
    <w:pPr>
      <w:keepNext/>
      <w:keepLines/>
      <w:spacing w:before="320" w:after="80"/>
      <w:outlineLvl w:val="2"/>
    </w:pPr>
    <w:rPr>
      <w:rFonts w:ascii="Arial" w:eastAsiaTheme="minorEastAsia" w:hAnsi="Arial" w:cs="Arial"/>
      <w:color w:val="434343"/>
      <w:sz w:val="28"/>
      <w:szCs w:val="28"/>
      <w:lang w:val="it-I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1"/>
  </w:style>
  <w:style w:type="paragraph" w:styleId="Footer">
    <w:name w:val="footer"/>
    <w:basedOn w:val="Normal"/>
    <w:link w:val="FooterChar"/>
    <w:uiPriority w:val="99"/>
    <w:unhideWhenUsed/>
    <w:rsid w:val="007C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1"/>
  </w:style>
  <w:style w:type="paragraph" w:styleId="ListParagraph">
    <w:name w:val="List Paragraph"/>
    <w:basedOn w:val="Normal"/>
    <w:uiPriority w:val="34"/>
    <w:qFormat/>
    <w:rsid w:val="001753B7"/>
    <w:pPr>
      <w:ind w:left="720"/>
      <w:contextualSpacing/>
    </w:pPr>
  </w:style>
  <w:style w:type="paragraph" w:customStyle="1" w:styleId="Default">
    <w:name w:val="Default"/>
    <w:rsid w:val="00EC70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C708E"/>
    <w:rPr>
      <w:rFonts w:ascii="Arial" w:eastAsiaTheme="minorEastAsia" w:hAnsi="Arial" w:cs="Arial"/>
      <w:color w:val="434343"/>
      <w:sz w:val="28"/>
      <w:szCs w:val="28"/>
      <w:lang w:val="it-IT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84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4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C708E"/>
    <w:pPr>
      <w:keepNext/>
      <w:keepLines/>
      <w:spacing w:before="320" w:after="80"/>
      <w:outlineLvl w:val="2"/>
    </w:pPr>
    <w:rPr>
      <w:rFonts w:ascii="Arial" w:eastAsiaTheme="minorEastAsia" w:hAnsi="Arial" w:cs="Arial"/>
      <w:color w:val="434343"/>
      <w:sz w:val="28"/>
      <w:szCs w:val="28"/>
      <w:lang w:val="it-I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1"/>
  </w:style>
  <w:style w:type="paragraph" w:styleId="Footer">
    <w:name w:val="footer"/>
    <w:basedOn w:val="Normal"/>
    <w:link w:val="FooterChar"/>
    <w:uiPriority w:val="99"/>
    <w:unhideWhenUsed/>
    <w:rsid w:val="007C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1"/>
  </w:style>
  <w:style w:type="paragraph" w:styleId="ListParagraph">
    <w:name w:val="List Paragraph"/>
    <w:basedOn w:val="Normal"/>
    <w:uiPriority w:val="34"/>
    <w:qFormat/>
    <w:rsid w:val="001753B7"/>
    <w:pPr>
      <w:ind w:left="720"/>
      <w:contextualSpacing/>
    </w:pPr>
  </w:style>
  <w:style w:type="paragraph" w:customStyle="1" w:styleId="Default">
    <w:name w:val="Default"/>
    <w:rsid w:val="00EC70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C708E"/>
    <w:rPr>
      <w:rFonts w:ascii="Arial" w:eastAsiaTheme="minorEastAsia" w:hAnsi="Arial" w:cs="Arial"/>
      <w:color w:val="434343"/>
      <w:sz w:val="28"/>
      <w:szCs w:val="28"/>
      <w:lang w:val="it-IT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84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4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6040-D0FD-492B-9EA0-D045F9B3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2019-02-12T19:28:00Z</dcterms:created>
  <dcterms:modified xsi:type="dcterms:W3CDTF">2019-02-12T20:04:00Z</dcterms:modified>
</cp:coreProperties>
</file>